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D6355">
      <w:pPr>
        <w:spacing w:before="101" w:line="230" w:lineRule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4"/>
          <w:sz w:val="31"/>
          <w:szCs w:val="31"/>
          <w:lang w:val="en-US" w:eastAsia="zh-CN"/>
        </w:rPr>
        <w:t>附件5：</w:t>
      </w:r>
    </w:p>
    <w:p w14:paraId="5F322872">
      <w:pPr>
        <w:spacing w:line="52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国家水生态环境智慧监测业务与实验平台临电工程施工</w:t>
      </w:r>
      <w:r>
        <w:rPr>
          <w:rFonts w:hint="default" w:ascii="Times New Roman" w:hAnsi="Times New Roman" w:eastAsia="黑体" w:cs="Times New Roman"/>
          <w:sz w:val="32"/>
          <w:szCs w:val="32"/>
        </w:rPr>
        <w:t>询价综合评审打分表</w:t>
      </w:r>
    </w:p>
    <w:p w14:paraId="6BFBBB0B">
      <w:pPr>
        <w:spacing w:line="52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4"/>
        <w:tblW w:w="15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257"/>
        <w:gridCol w:w="3376"/>
        <w:gridCol w:w="3738"/>
        <w:gridCol w:w="3876"/>
        <w:gridCol w:w="1397"/>
      </w:tblGrid>
      <w:tr w14:paraId="14D4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7" w:type="dxa"/>
            <w:vMerge w:val="restart"/>
            <w:noWrap w:val="0"/>
            <w:vAlign w:val="center"/>
          </w:tcPr>
          <w:p w14:paraId="238AF76F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2257" w:type="dxa"/>
            <w:vMerge w:val="restart"/>
            <w:noWrap w:val="0"/>
            <w:vAlign w:val="center"/>
          </w:tcPr>
          <w:p w14:paraId="551321DA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单位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名称</w:t>
            </w:r>
          </w:p>
        </w:tc>
        <w:tc>
          <w:tcPr>
            <w:tcW w:w="10990" w:type="dxa"/>
            <w:gridSpan w:val="3"/>
            <w:noWrap w:val="0"/>
            <w:vAlign w:val="center"/>
          </w:tcPr>
          <w:p w14:paraId="7E00739C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评分细则（100分）</w:t>
            </w:r>
          </w:p>
        </w:tc>
        <w:tc>
          <w:tcPr>
            <w:tcW w:w="1397" w:type="dxa"/>
            <w:vMerge w:val="restart"/>
            <w:noWrap w:val="0"/>
            <w:vAlign w:val="center"/>
          </w:tcPr>
          <w:p w14:paraId="18BF1FD4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合计</w:t>
            </w:r>
          </w:p>
        </w:tc>
      </w:tr>
      <w:tr w14:paraId="18F83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767" w:type="dxa"/>
            <w:vMerge w:val="continue"/>
            <w:noWrap w:val="0"/>
            <w:vAlign w:val="center"/>
          </w:tcPr>
          <w:p w14:paraId="698ABA0C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57" w:type="dxa"/>
            <w:vMerge w:val="continue"/>
            <w:noWrap w:val="0"/>
            <w:vAlign w:val="center"/>
          </w:tcPr>
          <w:p w14:paraId="65B70F6B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376" w:type="dxa"/>
            <w:noWrap w:val="0"/>
            <w:vAlign w:val="center"/>
          </w:tcPr>
          <w:p w14:paraId="3497DE7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报价评分</w:t>
            </w:r>
          </w:p>
          <w:p w14:paraId="22B5F62E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（50分）</w:t>
            </w:r>
          </w:p>
        </w:tc>
        <w:tc>
          <w:tcPr>
            <w:tcW w:w="3738" w:type="dxa"/>
            <w:noWrap w:val="0"/>
            <w:vAlign w:val="center"/>
          </w:tcPr>
          <w:p w14:paraId="7691950B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业绩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评分</w:t>
            </w:r>
          </w:p>
          <w:p w14:paraId="0763CD68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5分）</w:t>
            </w:r>
          </w:p>
        </w:tc>
        <w:tc>
          <w:tcPr>
            <w:tcW w:w="3876" w:type="dxa"/>
            <w:noWrap w:val="0"/>
            <w:vAlign w:val="center"/>
          </w:tcPr>
          <w:p w14:paraId="62907832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施工组织设计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评分</w:t>
            </w:r>
          </w:p>
          <w:p w14:paraId="5882D687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5分）</w:t>
            </w:r>
          </w:p>
        </w:tc>
        <w:tc>
          <w:tcPr>
            <w:tcW w:w="1397" w:type="dxa"/>
            <w:vMerge w:val="continue"/>
            <w:noWrap w:val="0"/>
            <w:vAlign w:val="top"/>
          </w:tcPr>
          <w:p w14:paraId="516EA01A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 w14:paraId="6449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767" w:type="dxa"/>
            <w:vMerge w:val="continue"/>
            <w:noWrap w:val="0"/>
            <w:vAlign w:val="center"/>
          </w:tcPr>
          <w:p w14:paraId="01AFBEE0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57" w:type="dxa"/>
            <w:vMerge w:val="continue"/>
            <w:noWrap w:val="0"/>
            <w:vAlign w:val="center"/>
          </w:tcPr>
          <w:p w14:paraId="6A5FDE7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376" w:type="dxa"/>
            <w:noWrap w:val="0"/>
            <w:vAlign w:val="center"/>
          </w:tcPr>
          <w:p w14:paraId="2A0FDFA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评分方法：</w:t>
            </w:r>
          </w:p>
          <w:p w14:paraId="07E4CD7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询价综合评审价格最低的报价为评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基准价，其价格分为满分。其他报价人的价格分统一按照下列公式计算：</w:t>
            </w:r>
          </w:p>
          <w:p w14:paraId="391E0BA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价格得分=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最低报价/其他报价人的报价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×50</w:t>
            </w:r>
          </w:p>
        </w:tc>
        <w:tc>
          <w:tcPr>
            <w:tcW w:w="3738" w:type="dxa"/>
            <w:noWrap w:val="0"/>
            <w:vAlign w:val="center"/>
          </w:tcPr>
          <w:p w14:paraId="49266425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评分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方法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：</w:t>
            </w:r>
          </w:p>
          <w:p w14:paraId="3D70D811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1.提交相关业绩3个（含）及以上的。（15分）</w:t>
            </w:r>
          </w:p>
          <w:p w14:paraId="5BF3F682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2.提交相关业绩2个的。（10分）</w:t>
            </w:r>
          </w:p>
          <w:p w14:paraId="54FE6093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3.提交相关业绩1个的。（5分）</w:t>
            </w:r>
          </w:p>
          <w:p w14:paraId="03DFEDCD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4.未提交相关业绩的。（0分）</w:t>
            </w:r>
          </w:p>
        </w:tc>
        <w:tc>
          <w:tcPr>
            <w:tcW w:w="3876" w:type="dxa"/>
            <w:noWrap w:val="0"/>
            <w:vAlign w:val="center"/>
          </w:tcPr>
          <w:p w14:paraId="5AE97D6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6BA730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评分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方法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：</w:t>
            </w:r>
          </w:p>
          <w:p w14:paraId="596B0266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施工组织设计明确清晰，可操作性强，按申报书内容要求编写，满足项目需求。（26～35分）</w:t>
            </w:r>
          </w:p>
          <w:p w14:paraId="7F1C777B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施工组织设计较为清晰，具备可操作性，按申报书内容要求编写，能基本满足项目需求。（16～25分）</w:t>
            </w:r>
          </w:p>
          <w:p w14:paraId="35C60719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施工组织设计经修改完善后方可基本满足项目需求。（1～15分）</w:t>
            </w:r>
          </w:p>
          <w:p w14:paraId="6DCD7DD7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未提交施工组织设计。（0分）</w:t>
            </w:r>
          </w:p>
        </w:tc>
        <w:tc>
          <w:tcPr>
            <w:tcW w:w="1397" w:type="dxa"/>
            <w:vMerge w:val="continue"/>
            <w:noWrap w:val="0"/>
            <w:vAlign w:val="top"/>
          </w:tcPr>
          <w:p w14:paraId="2E00BEF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13E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67" w:type="dxa"/>
            <w:noWrap w:val="0"/>
            <w:vAlign w:val="center"/>
          </w:tcPr>
          <w:p w14:paraId="0F830A4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257" w:type="dxa"/>
            <w:noWrap w:val="0"/>
            <w:vAlign w:val="center"/>
          </w:tcPr>
          <w:p w14:paraId="00E046A6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76" w:type="dxa"/>
            <w:noWrap w:val="0"/>
            <w:vAlign w:val="center"/>
          </w:tcPr>
          <w:p w14:paraId="5104702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738" w:type="dxa"/>
            <w:noWrap w:val="0"/>
            <w:vAlign w:val="center"/>
          </w:tcPr>
          <w:p w14:paraId="6C3A13B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225A3B83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vAlign w:val="top"/>
          </w:tcPr>
          <w:p w14:paraId="7DC7F88D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74E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67" w:type="dxa"/>
            <w:noWrap w:val="0"/>
            <w:vAlign w:val="center"/>
          </w:tcPr>
          <w:p w14:paraId="6330C491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257" w:type="dxa"/>
            <w:noWrap w:val="0"/>
            <w:vAlign w:val="center"/>
          </w:tcPr>
          <w:p w14:paraId="2DCCE6B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76" w:type="dxa"/>
            <w:noWrap w:val="0"/>
            <w:vAlign w:val="center"/>
          </w:tcPr>
          <w:p w14:paraId="1CBD188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738" w:type="dxa"/>
            <w:noWrap w:val="0"/>
            <w:vAlign w:val="center"/>
          </w:tcPr>
          <w:p w14:paraId="5EF7E3B4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1312EB6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vAlign w:val="top"/>
          </w:tcPr>
          <w:p w14:paraId="612872D9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9CCB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67" w:type="dxa"/>
            <w:noWrap w:val="0"/>
            <w:vAlign w:val="center"/>
          </w:tcPr>
          <w:p w14:paraId="08F9F78C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2257" w:type="dxa"/>
            <w:noWrap w:val="0"/>
            <w:vAlign w:val="center"/>
          </w:tcPr>
          <w:p w14:paraId="6486ED20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76" w:type="dxa"/>
            <w:noWrap w:val="0"/>
            <w:vAlign w:val="center"/>
          </w:tcPr>
          <w:p w14:paraId="07EE3F08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738" w:type="dxa"/>
            <w:noWrap w:val="0"/>
            <w:vAlign w:val="center"/>
          </w:tcPr>
          <w:p w14:paraId="069B77DF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2C729C09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vAlign w:val="top"/>
          </w:tcPr>
          <w:p w14:paraId="54A3303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9B8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67" w:type="dxa"/>
            <w:noWrap w:val="0"/>
            <w:vAlign w:val="center"/>
          </w:tcPr>
          <w:p w14:paraId="4EA1FA96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…</w:t>
            </w:r>
          </w:p>
        </w:tc>
        <w:tc>
          <w:tcPr>
            <w:tcW w:w="2257" w:type="dxa"/>
            <w:noWrap w:val="0"/>
            <w:vAlign w:val="center"/>
          </w:tcPr>
          <w:p w14:paraId="1F0C74BE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76" w:type="dxa"/>
            <w:noWrap w:val="0"/>
            <w:vAlign w:val="center"/>
          </w:tcPr>
          <w:p w14:paraId="6181850C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738" w:type="dxa"/>
            <w:noWrap w:val="0"/>
            <w:vAlign w:val="center"/>
          </w:tcPr>
          <w:p w14:paraId="507BEED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46EBB97B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vAlign w:val="top"/>
          </w:tcPr>
          <w:p w14:paraId="0B3569A7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114B57F1">
      <w:pPr>
        <w:wordWrap/>
        <w:ind w:right="560"/>
        <w:jc w:val="both"/>
        <w:rPr>
          <w:rFonts w:hint="default" w:ascii="Times New Roman" w:hAnsi="Times New Roman" w:eastAsia="仿宋" w:cs="Times New Roman"/>
          <w:bCs/>
          <w:sz w:val="28"/>
          <w:lang w:val="en-US" w:eastAsia="zh-CN"/>
        </w:rPr>
      </w:pPr>
    </w:p>
    <w:p w14:paraId="6CE7DAC9">
      <w:pPr>
        <w:rPr>
          <w:rFonts w:ascii="Times New Roman" w:hAnsi="Times New Roman" w:cs="Times New Roman"/>
          <w:sz w:val="21"/>
        </w:rPr>
      </w:pPr>
    </w:p>
    <w:p w14:paraId="47CEBE60"/>
    <w:sectPr>
      <w:headerReference r:id="rId5" w:type="default"/>
      <w:footerReference r:id="rId6" w:type="default"/>
      <w:pgSz w:w="16839" w:h="11906"/>
      <w:pgMar w:top="1012" w:right="698" w:bottom="0" w:left="7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9AF7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DCBC4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DCBC4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AB2C5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2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2025-10-10T02:01:02Z</dcterms:created>
  <dc:creator>yy</dc:creator>
  <cp:lastModifiedBy>于  勇</cp:lastModifiedBy>
  <dcterms:modified xsi:type="dcterms:W3CDTF">2025-10-10T02:15:47Z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eyJoZGlkIjoiY2JkNGViNmYxMTc5ODRiZTZhYzM5NmZmZTQ3ODZjYzIiLCJ1c2VySWQiOiIxNDczODg5NzIxIn0=</vt:lpwstr>
  </property>
  <property fmtid="{D5CDD505-2E9C-101B-9397-08002B2CF9AE}" pid="4" name="ICV">
    <vt:lpwstr>40BDB39DE91C4A11A9FE22DA41723421_12</vt:lpwstr>
  </property>
</Properties>
</file>